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84" w:rsidRDefault="004E2184" w:rsidP="004E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2184" w:rsidRDefault="004E2184" w:rsidP="004E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95D" w:rsidRDefault="00F7695D" w:rsidP="00F7695D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Советник экономический Экономического управления</w:t>
      </w:r>
    </w:p>
    <w:p w:rsidR="00F7695D" w:rsidRDefault="00F7695D" w:rsidP="00F7695D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(Южное ГУ Банка России, г. Краснодар)</w:t>
      </w:r>
    </w:p>
    <w:p w:rsidR="00F7695D" w:rsidRDefault="00F7695D" w:rsidP="00F7695D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F7695D" w:rsidRDefault="00F7695D" w:rsidP="00F7695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Обязанности: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7695D" w:rsidRDefault="00F7695D" w:rsidP="00F7695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7695D" w:rsidRDefault="00F7695D" w:rsidP="00F769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Cтимулирование</w:t>
      </w:r>
      <w:proofErr w:type="spellEnd"/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 xml:space="preserve"> развития научной деятельности и курирование исследовательских проектов; участие в организации профессионального развития сотрудников экономических подразделений Южного ГУ Банка России;</w:t>
      </w:r>
    </w:p>
    <w:p w:rsidR="00F7695D" w:rsidRDefault="00F7695D" w:rsidP="00F769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Моделирование экономических взаимосвязей, финансового сектора и трансмиссионного механизма денежно-кредитной политики, оценка и прогнозирование перспектив развития экономики в рамках тематических исследований;</w:t>
      </w:r>
    </w:p>
    <w:p w:rsidR="00F7695D" w:rsidRDefault="00F7695D" w:rsidP="00F769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Участие в проведении информационной и коммуникационной политики Банка России по разъяснению решений в области денежно-кредитной политики, а также информационных кампаний и иных мероприятий по повышению информированности региональных предприятий реального сектора и региональных органов власти о возможностях финансового рынка;</w:t>
      </w:r>
    </w:p>
    <w:p w:rsidR="00F7695D" w:rsidRDefault="00F7695D" w:rsidP="00F769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Участие в работе по развитию регионального финансового рынка, содействие в реализации пилотных проектов, связанных с развитием финансового рынка;</w:t>
      </w:r>
    </w:p>
    <w:p w:rsidR="00F7695D" w:rsidRDefault="00F7695D" w:rsidP="00F769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Подготовка аналитических, справочных и информационных материалов (презентации, доклады, выступления), в том числе для совещаний, круглых столов, заседаний рабочих групп, публикаций в СМИ;</w:t>
      </w:r>
    </w:p>
    <w:p w:rsidR="00F7695D" w:rsidRDefault="00F7695D" w:rsidP="00F769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Участие во взаимодействии с органами государственной власти и местного самоуправления, с российскими, зарубежными и международными организациями, региональными институтами развития, эмитентами региона по вопросам развития экономики и финансового сектора, реализации денежно-кредитной политики.</w:t>
      </w:r>
    </w:p>
    <w:p w:rsidR="00F7695D" w:rsidRDefault="00F7695D" w:rsidP="00F7695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</w:p>
    <w:p w:rsidR="00F7695D" w:rsidRDefault="00F7695D" w:rsidP="00F7695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eastAsia="ru-RU"/>
        </w:rPr>
        <w:t>Требования: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 xml:space="preserve"> </w:t>
      </w:r>
    </w:p>
    <w:p w:rsidR="00F7695D" w:rsidRDefault="00F7695D" w:rsidP="00F7695D">
      <w:pPr>
        <w:numPr>
          <w:ilvl w:val="0"/>
          <w:numId w:val="23"/>
        </w:numPr>
        <w:tabs>
          <w:tab w:val="left" w:pos="993"/>
        </w:tabs>
        <w:spacing w:before="100" w:beforeAutospacing="1" w:after="75" w:line="240" w:lineRule="auto"/>
        <w:ind w:left="300" w:firstLine="409"/>
        <w:jc w:val="both"/>
        <w:textAlignment w:val="top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Высшее профессиональное образование - "Экономика", "Финансы и кредит", "Фундаментальные математика и механика", " Математика", "Прикладная математика и информатика", "Механика и математическое моделирование", "Прикладная математика", "Статистика", "Менеджмент", Государственное и муниципальное управление", "Юриспруденция"</w:t>
      </w:r>
    </w:p>
    <w:p w:rsidR="00F7695D" w:rsidRDefault="00F7695D" w:rsidP="00F7695D">
      <w:pPr>
        <w:numPr>
          <w:ilvl w:val="0"/>
          <w:numId w:val="23"/>
        </w:numPr>
        <w:tabs>
          <w:tab w:val="left" w:pos="993"/>
        </w:tabs>
        <w:spacing w:before="100" w:beforeAutospacing="1" w:after="75" w:line="240" w:lineRule="auto"/>
        <w:ind w:left="300" w:firstLine="409"/>
        <w:jc w:val="both"/>
        <w:textAlignment w:val="top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Требуемый опыт работы  в финансовой сфере или по направлению деятельности не менее 5 лет</w:t>
      </w:r>
    </w:p>
    <w:p w:rsidR="00F7695D" w:rsidRDefault="00F7695D" w:rsidP="00F7695D">
      <w:pPr>
        <w:spacing w:before="100" w:beforeAutospacing="1" w:after="75" w:line="240" w:lineRule="auto"/>
        <w:jc w:val="both"/>
        <w:textAlignment w:val="top"/>
        <w:rPr>
          <w:rFonts w:ascii="Arial" w:eastAsia="Times New Roman" w:hAnsi="Arial" w:cs="Arial"/>
          <w:b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Cs/>
          <w:color w:val="404040" w:themeColor="text1" w:themeTint="BF"/>
          <w:sz w:val="21"/>
          <w:szCs w:val="21"/>
          <w:lang w:eastAsia="ru-RU"/>
        </w:rPr>
        <w:t>Необходимые теоретические знания:</w:t>
      </w:r>
    </w:p>
    <w:p w:rsidR="00F7695D" w:rsidRDefault="00F7695D" w:rsidP="00F7695D">
      <w:pPr>
        <w:numPr>
          <w:ilvl w:val="0"/>
          <w:numId w:val="23"/>
        </w:numPr>
        <w:tabs>
          <w:tab w:val="clear" w:pos="720"/>
          <w:tab w:val="num" w:pos="-142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основ экономического анализа, общей теории статистики, информационных технологий;</w:t>
      </w:r>
    </w:p>
    <w:p w:rsidR="00F7695D" w:rsidRDefault="00F7695D" w:rsidP="00F7695D">
      <w:pPr>
        <w:numPr>
          <w:ilvl w:val="0"/>
          <w:numId w:val="23"/>
        </w:numPr>
        <w:tabs>
          <w:tab w:val="clear" w:pos="720"/>
          <w:tab w:val="num" w:pos="-142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углубленные знания в области макроэкономики и математического моделирования экономических процессов, знание работы трансмиссионного механизма денежно-кредитной политики;</w:t>
      </w:r>
    </w:p>
    <w:p w:rsidR="00F7695D" w:rsidRDefault="00F7695D" w:rsidP="00F7695D">
      <w:pPr>
        <w:numPr>
          <w:ilvl w:val="0"/>
          <w:numId w:val="23"/>
        </w:numPr>
        <w:tabs>
          <w:tab w:val="clear" w:pos="720"/>
          <w:tab w:val="num" w:pos="-142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основных направлений денежно-кредитной политики, основных направлений развития финансового рынка и других стратегических документов Банка России, национальной стратегии повышения финансовой грамотности;</w:t>
      </w:r>
    </w:p>
    <w:p w:rsidR="00F7695D" w:rsidRDefault="00F7695D" w:rsidP="00F7695D">
      <w:pPr>
        <w:numPr>
          <w:ilvl w:val="0"/>
          <w:numId w:val="23"/>
        </w:numPr>
        <w:tabs>
          <w:tab w:val="clear" w:pos="720"/>
          <w:tab w:val="num" w:pos="-142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особенностей функционирования внутреннего и международного финансовых рынков;</w:t>
      </w:r>
    </w:p>
    <w:p w:rsidR="00F7695D" w:rsidRDefault="00F7695D" w:rsidP="00F7695D">
      <w:pPr>
        <w:numPr>
          <w:ilvl w:val="0"/>
          <w:numId w:val="23"/>
        </w:numPr>
        <w:tabs>
          <w:tab w:val="clear" w:pos="720"/>
          <w:tab w:val="num" w:pos="-142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методов сбора, оценки, анализа больших массивов информации с использованием автоматизированных программных продуктов;</w:t>
      </w:r>
    </w:p>
    <w:p w:rsidR="00F7695D" w:rsidRDefault="00F7695D" w:rsidP="00F7695D">
      <w:pPr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 xml:space="preserve">английский язык, не ниже </w:t>
      </w:r>
      <w:proofErr w:type="spellStart"/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upper</w:t>
      </w:r>
      <w:proofErr w:type="spellEnd"/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intermediate</w:t>
      </w:r>
      <w:proofErr w:type="spellEnd"/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.</w:t>
      </w:r>
    </w:p>
    <w:p w:rsidR="00F7695D" w:rsidRDefault="00F7695D" w:rsidP="00F7695D">
      <w:pPr>
        <w:spacing w:before="100" w:beforeAutospacing="1" w:after="75" w:line="240" w:lineRule="auto"/>
        <w:jc w:val="both"/>
        <w:textAlignment w:val="top"/>
        <w:rPr>
          <w:rFonts w:ascii="Arial" w:eastAsia="Times New Roman" w:hAnsi="Arial" w:cs="Arial"/>
          <w:b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Cs/>
          <w:color w:val="404040" w:themeColor="text1" w:themeTint="BF"/>
          <w:sz w:val="21"/>
          <w:szCs w:val="21"/>
          <w:lang w:eastAsia="ru-RU"/>
        </w:rPr>
        <w:t>Необходимые умения и навыки:</w:t>
      </w:r>
    </w:p>
    <w:p w:rsidR="00F7695D" w:rsidRDefault="00F7695D" w:rsidP="00F7695D">
      <w:pPr>
        <w:numPr>
          <w:ilvl w:val="0"/>
          <w:numId w:val="23"/>
        </w:numPr>
        <w:tabs>
          <w:tab w:val="clear" w:pos="720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публикационная активность, участие в научных конференциях по экономической тематике (макроэкономика, эконометрика и т.д.);</w:t>
      </w:r>
    </w:p>
    <w:p w:rsidR="00F7695D" w:rsidRDefault="00F7695D" w:rsidP="00F7695D">
      <w:pPr>
        <w:numPr>
          <w:ilvl w:val="0"/>
          <w:numId w:val="23"/>
        </w:numPr>
        <w:tabs>
          <w:tab w:val="clear" w:pos="720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развитые аналитические способности, умение формировать выводы (в том числе на основании эконометрических моделей и экспертного суждения);</w:t>
      </w:r>
    </w:p>
    <w:p w:rsidR="00F7695D" w:rsidRDefault="00F7695D" w:rsidP="00F7695D">
      <w:pPr>
        <w:numPr>
          <w:ilvl w:val="0"/>
          <w:numId w:val="23"/>
        </w:numPr>
        <w:tabs>
          <w:tab w:val="clear" w:pos="720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lastRenderedPageBreak/>
        <w:t xml:space="preserve"> приветствуется наличие опыта по анализу социально-экономического развития региона, стратегического анализа;</w:t>
      </w:r>
    </w:p>
    <w:p w:rsidR="00F7695D" w:rsidRDefault="00F7695D" w:rsidP="00F7695D">
      <w:pPr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навыки работы в прикладных программах (</w:t>
      </w:r>
      <w:proofErr w:type="spellStart"/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Eviews</w:t>
      </w:r>
      <w:proofErr w:type="spellEnd"/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 xml:space="preserve">, R, </w:t>
      </w:r>
      <w:proofErr w:type="spellStart"/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Matlab</w:t>
      </w:r>
      <w:proofErr w:type="spellEnd"/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>Pyton</w:t>
      </w:r>
      <w:proofErr w:type="spellEnd"/>
      <w:r>
        <w:rPr>
          <w:rFonts w:ascii="Arial" w:eastAsia="Times New Roman" w:hAnsi="Arial" w:cs="Arial"/>
          <w:iCs/>
          <w:color w:val="404040" w:themeColor="text1" w:themeTint="BF"/>
          <w:sz w:val="21"/>
          <w:szCs w:val="21"/>
          <w:lang w:eastAsia="ru-RU"/>
        </w:rPr>
        <w:t xml:space="preserve"> и пр.).</w:t>
      </w:r>
    </w:p>
    <w:p w:rsidR="00943B10" w:rsidRPr="00EB58BB" w:rsidRDefault="00943B10" w:rsidP="00943B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8BB" w:rsidRPr="00F7695D" w:rsidRDefault="00EB58BB" w:rsidP="00EB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7695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Условия:</w:t>
      </w:r>
    </w:p>
    <w:p w:rsidR="00EB58BB" w:rsidRPr="00F7695D" w:rsidRDefault="00EB58BB" w:rsidP="00EB58B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F7695D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Работа в крупной стабильной организации, получение уникального опыта;</w:t>
      </w:r>
    </w:p>
    <w:p w:rsidR="00EB58BB" w:rsidRPr="00F7695D" w:rsidRDefault="00EB58BB" w:rsidP="00EB58BB">
      <w:pPr>
        <w:numPr>
          <w:ilvl w:val="1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F7695D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Трудоустройство в соответствии с ТК РФ;</w:t>
      </w:r>
    </w:p>
    <w:p w:rsidR="00EB58BB" w:rsidRPr="00F7695D" w:rsidRDefault="00EB58BB" w:rsidP="00EB58BB">
      <w:pPr>
        <w:numPr>
          <w:ilvl w:val="1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F7695D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Должностной оклад обсуждается с кандидатом, успешно прошедшим отбор, с учетом квалификации и опыта;</w:t>
      </w:r>
    </w:p>
    <w:p w:rsidR="00EB58BB" w:rsidRPr="00F7695D" w:rsidRDefault="00EB58BB" w:rsidP="00EB58BB">
      <w:pPr>
        <w:numPr>
          <w:ilvl w:val="1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F7695D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Система премирования, расширенный социальный пакет (ДМС, льготное санаторно-курортное лечение для работников и членов их семей);</w:t>
      </w:r>
    </w:p>
    <w:p w:rsidR="00EB58BB" w:rsidRPr="00F7695D" w:rsidRDefault="00EB58BB" w:rsidP="00EB58BB">
      <w:pPr>
        <w:numPr>
          <w:ilvl w:val="1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F7695D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 xml:space="preserve"> Регулярное внешнее и внутреннее обучение и повышение квалификации работников;</w:t>
      </w:r>
    </w:p>
    <w:p w:rsidR="00EB58BB" w:rsidRPr="00F7695D" w:rsidRDefault="00EB58BB" w:rsidP="00EB58BB">
      <w:pPr>
        <w:numPr>
          <w:ilvl w:val="1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F7695D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Адрес офиса г. Краснодар, ул. им. Н. Кондратенко, 12.</w:t>
      </w:r>
    </w:p>
    <w:p w:rsidR="00EB58BB" w:rsidRPr="00EB58BB" w:rsidRDefault="00EB58BB" w:rsidP="00EB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EB58BB" w:rsidRPr="00EB58BB" w:rsidRDefault="00EB58BB" w:rsidP="00EB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EB58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Контактное лицо:</w:t>
      </w:r>
    </w:p>
    <w:p w:rsidR="00EB58BB" w:rsidRPr="00F7695D" w:rsidRDefault="00EB58BB" w:rsidP="00F769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</w:p>
    <w:p w:rsidR="00EB58BB" w:rsidRPr="00F7695D" w:rsidRDefault="00444A56" w:rsidP="00F769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F7695D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Гесь</w:t>
      </w:r>
      <w:r w:rsidR="00EB58BB" w:rsidRPr="00F7695D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 xml:space="preserve"> Юлия Геннадьевна – главный эксперт Управления по работе с персоналом Южного ГУ Банка России -8 (861)214-24-89, </w:t>
      </w:r>
      <w:r w:rsidRPr="00F7695D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FedorovskayaYUG@mail.cbr.ru</w:t>
      </w:r>
    </w:p>
    <w:p w:rsidR="001F5E3D" w:rsidRPr="00302E80" w:rsidRDefault="001F5E3D" w:rsidP="00943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1F5E3D" w:rsidRPr="00302E80" w:rsidSect="00302E8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EA6"/>
    <w:multiLevelType w:val="multilevel"/>
    <w:tmpl w:val="73E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6B2E"/>
    <w:multiLevelType w:val="hybridMultilevel"/>
    <w:tmpl w:val="615C84CC"/>
    <w:lvl w:ilvl="0" w:tplc="307A4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FE5"/>
    <w:multiLevelType w:val="hybridMultilevel"/>
    <w:tmpl w:val="53D0C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72317"/>
    <w:multiLevelType w:val="hybridMultilevel"/>
    <w:tmpl w:val="EA8C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E7920"/>
    <w:multiLevelType w:val="multilevel"/>
    <w:tmpl w:val="04C4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66F20"/>
    <w:multiLevelType w:val="multilevel"/>
    <w:tmpl w:val="E37A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A4E2E"/>
    <w:multiLevelType w:val="hybridMultilevel"/>
    <w:tmpl w:val="7410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34A72"/>
    <w:multiLevelType w:val="multilevel"/>
    <w:tmpl w:val="6E66B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76FA1"/>
    <w:multiLevelType w:val="multilevel"/>
    <w:tmpl w:val="A8623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86BEA"/>
    <w:multiLevelType w:val="hybridMultilevel"/>
    <w:tmpl w:val="4D10E702"/>
    <w:lvl w:ilvl="0" w:tplc="DB1074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422AF"/>
    <w:multiLevelType w:val="multilevel"/>
    <w:tmpl w:val="9E8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E67F2"/>
    <w:multiLevelType w:val="multilevel"/>
    <w:tmpl w:val="FDD69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84879"/>
    <w:multiLevelType w:val="multilevel"/>
    <w:tmpl w:val="2EC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76EEE"/>
    <w:multiLevelType w:val="multilevel"/>
    <w:tmpl w:val="C2F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F324E"/>
    <w:multiLevelType w:val="multilevel"/>
    <w:tmpl w:val="221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869AE"/>
    <w:multiLevelType w:val="multilevel"/>
    <w:tmpl w:val="0F3E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03930"/>
    <w:multiLevelType w:val="multilevel"/>
    <w:tmpl w:val="8DB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C7BB3"/>
    <w:multiLevelType w:val="multilevel"/>
    <w:tmpl w:val="9FC4C4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224BD"/>
    <w:multiLevelType w:val="multilevel"/>
    <w:tmpl w:val="1F486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F5DFE"/>
    <w:multiLevelType w:val="multilevel"/>
    <w:tmpl w:val="320A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B1CD5"/>
    <w:multiLevelType w:val="hybridMultilevel"/>
    <w:tmpl w:val="B7CCA8B2"/>
    <w:lvl w:ilvl="0" w:tplc="307A4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D4CE4"/>
    <w:multiLevelType w:val="multilevel"/>
    <w:tmpl w:val="3DD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D4282"/>
    <w:multiLevelType w:val="multilevel"/>
    <w:tmpl w:val="1FD2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M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"/>
  </w:num>
  <w:num w:numId="5">
    <w:abstractNumId w:val="21"/>
  </w:num>
  <w:num w:numId="6">
    <w:abstractNumId w:val="15"/>
  </w:num>
  <w:num w:numId="7">
    <w:abstractNumId w:val="13"/>
  </w:num>
  <w:num w:numId="8">
    <w:abstractNumId w:val="0"/>
  </w:num>
  <w:num w:numId="9">
    <w:abstractNumId w:val="22"/>
  </w:num>
  <w:num w:numId="10">
    <w:abstractNumId w:val="20"/>
  </w:num>
  <w:num w:numId="11">
    <w:abstractNumId w:val="3"/>
  </w:num>
  <w:num w:numId="12">
    <w:abstractNumId w:val="11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6"/>
  </w:num>
  <w:num w:numId="21">
    <w:abstractNumId w:val="16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0B"/>
    <w:rsid w:val="00050597"/>
    <w:rsid w:val="001F5E3D"/>
    <w:rsid w:val="002400EC"/>
    <w:rsid w:val="00271B39"/>
    <w:rsid w:val="002D09EA"/>
    <w:rsid w:val="00302E80"/>
    <w:rsid w:val="0034308D"/>
    <w:rsid w:val="003857BE"/>
    <w:rsid w:val="004277A8"/>
    <w:rsid w:val="004301D0"/>
    <w:rsid w:val="00444A56"/>
    <w:rsid w:val="004838FD"/>
    <w:rsid w:val="004939E2"/>
    <w:rsid w:val="00493A0B"/>
    <w:rsid w:val="004E2184"/>
    <w:rsid w:val="00590E97"/>
    <w:rsid w:val="005C5C75"/>
    <w:rsid w:val="00652A87"/>
    <w:rsid w:val="006E2B06"/>
    <w:rsid w:val="006F5C22"/>
    <w:rsid w:val="007B1AF4"/>
    <w:rsid w:val="007E4AAB"/>
    <w:rsid w:val="00867859"/>
    <w:rsid w:val="0089620F"/>
    <w:rsid w:val="008E353D"/>
    <w:rsid w:val="00943B10"/>
    <w:rsid w:val="00997DA8"/>
    <w:rsid w:val="00A466FB"/>
    <w:rsid w:val="00C72387"/>
    <w:rsid w:val="00D02158"/>
    <w:rsid w:val="00D432E4"/>
    <w:rsid w:val="00E67F28"/>
    <w:rsid w:val="00E82ADE"/>
    <w:rsid w:val="00E951E1"/>
    <w:rsid w:val="00EB58BB"/>
    <w:rsid w:val="00EE4E4E"/>
    <w:rsid w:val="00EE5431"/>
    <w:rsid w:val="00F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DE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302E8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E21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DE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302E8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E2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Белокриницкий</dc:creator>
  <cp:keywords/>
  <dc:description/>
  <cp:lastModifiedBy>Гесь Юлия Геннадьевна</cp:lastModifiedBy>
  <cp:revision>8</cp:revision>
  <cp:lastPrinted>2019-02-11T07:17:00Z</cp:lastPrinted>
  <dcterms:created xsi:type="dcterms:W3CDTF">2019-04-11T13:26:00Z</dcterms:created>
  <dcterms:modified xsi:type="dcterms:W3CDTF">2021-05-18T10:49:00Z</dcterms:modified>
</cp:coreProperties>
</file>